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CFF4" w14:textId="4E227721" w:rsidR="005143ED" w:rsidRPr="005A6124" w:rsidRDefault="005143ED" w:rsidP="005A6124">
      <w:pPr>
        <w:pStyle w:val="Heading1"/>
        <w:rPr>
          <w:lang w:eastAsia="zh-CN"/>
        </w:rPr>
      </w:pPr>
      <w:r w:rsidRPr="005143ED">
        <w:rPr>
          <w:lang w:eastAsia="zh-CN"/>
        </w:rPr>
        <w:t>Template for Inclusive Practices in Teacher Education Coursework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277"/>
      </w:tblGrid>
      <w:tr w:rsidR="005143ED" w:rsidRPr="005143ED" w14:paraId="35CA811F" w14:textId="77777777" w:rsidTr="005A6124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B215" w14:textId="77777777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Content Area</w:t>
            </w:r>
          </w:p>
        </w:tc>
        <w:tc>
          <w:tcPr>
            <w:tcW w:w="7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C5F0" w14:textId="525F0976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All</w:t>
            </w:r>
          </w:p>
        </w:tc>
      </w:tr>
      <w:tr w:rsidR="005143ED" w:rsidRPr="005143ED" w14:paraId="54BE75AA" w14:textId="77777777" w:rsidTr="005A612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62B2" w14:textId="77777777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Program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17BE" w14:textId="3B35F382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SSCP</w:t>
            </w:r>
          </w:p>
        </w:tc>
      </w:tr>
      <w:tr w:rsidR="005143ED" w:rsidRPr="005143ED" w14:paraId="754F50D7" w14:textId="77777777" w:rsidTr="005A612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E9F4" w14:textId="77777777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TPEs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2F53" w14:textId="6B48E368" w:rsidR="00DD63F7" w:rsidRDefault="00DD63F7" w:rsidP="006B5E01">
            <w:pPr>
              <w:tabs>
                <w:tab w:val="left" w:pos="435"/>
              </w:tabs>
              <w:ind w:left="435" w:hanging="450"/>
            </w:pPr>
            <w:r>
              <w:t>1.4</w:t>
            </w:r>
            <w:r w:rsidR="006B5E01">
              <w:tab/>
            </w:r>
            <w:r>
              <w:t>Use a variety of developmentally and ability-appropriate instructional strategies, resources, and assistive technology, including principles of Universal Design of Learning (UDL) and Multi-Tiered System of Supports (MTSS) to support access to the curriculum for a wide range of learners within the general education classroom and environment.</w:t>
            </w:r>
          </w:p>
          <w:p w14:paraId="635CA7C3" w14:textId="69C95182" w:rsidR="00DD63F7" w:rsidRDefault="00DD63F7" w:rsidP="006B5E01">
            <w:pPr>
              <w:tabs>
                <w:tab w:val="left" w:pos="435"/>
              </w:tabs>
              <w:ind w:left="435" w:hanging="450"/>
            </w:pPr>
            <w:r>
              <w:t>1.3</w:t>
            </w:r>
            <w:r w:rsidR="006B5E01">
              <w:tab/>
            </w:r>
            <w:r>
              <w:t>Connect subject matter to real-life contexts and provide active learning experiences to engage student interest, support student motivation, and allow students to extend their learning.</w:t>
            </w:r>
          </w:p>
          <w:p w14:paraId="1B138A67" w14:textId="44BB8AD1" w:rsidR="00DD63F7" w:rsidRDefault="00DD63F7" w:rsidP="006B5E01">
            <w:pPr>
              <w:tabs>
                <w:tab w:val="left" w:pos="435"/>
              </w:tabs>
              <w:ind w:left="435" w:hanging="450"/>
            </w:pPr>
            <w:r>
              <w:t>1.7</w:t>
            </w:r>
            <w:r w:rsidR="006B5E01">
              <w:tab/>
            </w:r>
            <w:r>
              <w:t>Provide students with opportunities to access the curriculum by incorporating the visual and performing arts, as appropriate to the content and context of learning.</w:t>
            </w:r>
          </w:p>
          <w:p w14:paraId="1C7FFE66" w14:textId="6648FE4C" w:rsidR="005143ED" w:rsidRPr="005143ED" w:rsidRDefault="00FF0478" w:rsidP="006B5E01">
            <w:pPr>
              <w:tabs>
                <w:tab w:val="left" w:pos="435"/>
              </w:tabs>
              <w:ind w:left="435" w:hanging="450"/>
            </w:pPr>
            <w:r>
              <w:t>4.8</w:t>
            </w:r>
            <w:r w:rsidR="006B5E01">
              <w:tab/>
            </w:r>
            <w:r>
              <w:t>Use digital tools and learning technologies across learning environments as appropriate to create new content and provide personalized and integrated technology-rich lessons to engage students in learning, promote digital literacy, and offer students multiple means to create new content and provide personalized and integrated technology-rich lessons to demonstrate their learning.</w:t>
            </w:r>
          </w:p>
        </w:tc>
      </w:tr>
      <w:tr w:rsidR="005143ED" w:rsidRPr="005143ED" w14:paraId="38BE7EEE" w14:textId="77777777" w:rsidTr="005A612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3460" w14:textId="77777777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HLPs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32DA" w14:textId="48B574BF" w:rsidR="005143ED" w:rsidRPr="005143ED" w:rsidRDefault="005143ED" w:rsidP="006B5E01">
            <w:pPr>
              <w:rPr>
                <w:lang w:eastAsia="zh-CN"/>
              </w:rPr>
            </w:pPr>
            <w:r>
              <w:rPr>
                <w:lang w:eastAsia="zh-CN"/>
              </w:rPr>
              <w:t>Use flexible grouping (17), Use strategies to promote active student engagement (18); Use assistive and instructional technologies</w:t>
            </w:r>
          </w:p>
        </w:tc>
      </w:tr>
      <w:tr w:rsidR="005143ED" w:rsidRPr="005143ED" w14:paraId="55AF8CAC" w14:textId="77777777" w:rsidTr="005A612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50F7" w14:textId="77777777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Type of Practice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1222" w14:textId="0F58DC1D" w:rsidR="005143ED" w:rsidRPr="005143ED" w:rsidRDefault="005143ED" w:rsidP="005143ED">
            <w:pPr>
              <w:rPr>
                <w:rFonts w:ascii="Calibri" w:eastAsia="Times New Roman" w:hAnsi="Calibri" w:cs="Calibri"/>
                <w:lang w:eastAsia="zh-CN"/>
              </w:rPr>
            </w:pPr>
            <w:r w:rsidRPr="005143ED">
              <w:rPr>
                <w:rFonts w:ascii="Calibri" w:eastAsia="Times New Roman" w:hAnsi="Calibri" w:cs="Calibri"/>
                <w:lang w:eastAsia="zh-CN"/>
              </w:rPr>
              <w:t>In Class Activity</w:t>
            </w:r>
          </w:p>
        </w:tc>
      </w:tr>
    </w:tbl>
    <w:p w14:paraId="0D5F3C4C" w14:textId="36B1DAA5" w:rsidR="005143ED" w:rsidRPr="005143ED" w:rsidRDefault="005143ED" w:rsidP="005143ED">
      <w:pPr>
        <w:rPr>
          <w:rFonts w:ascii="Calibri" w:eastAsia="Times New Roman" w:hAnsi="Calibri" w:cs="Calibri"/>
          <w:color w:val="000000"/>
          <w:lang w:eastAsia="zh-CN"/>
        </w:rPr>
      </w:pPr>
    </w:p>
    <w:p w14:paraId="18697EE2" w14:textId="601DC209" w:rsidR="005143ED" w:rsidRPr="005143ED" w:rsidRDefault="005143ED" w:rsidP="005A6124">
      <w:pPr>
        <w:rPr>
          <w:lang w:eastAsia="zh-CN"/>
        </w:rPr>
      </w:pPr>
      <w:r w:rsidRPr="005143ED">
        <w:rPr>
          <w:lang w:eastAsia="zh-CN"/>
        </w:rPr>
        <w:t>This practice is currently used in </w:t>
      </w:r>
      <w:r w:rsidRPr="00C877D3">
        <w:rPr>
          <w:lang w:eastAsia="zh-CN"/>
        </w:rPr>
        <w:t xml:space="preserve">the Single Subject credential </w:t>
      </w:r>
      <w:r w:rsidRPr="005143ED">
        <w:rPr>
          <w:lang w:eastAsia="zh-CN"/>
        </w:rPr>
        <w:t>program</w:t>
      </w:r>
      <w:r w:rsidR="00C877D3">
        <w:rPr>
          <w:lang w:eastAsia="zh-CN"/>
        </w:rPr>
        <w:t xml:space="preserve"> in the cross-content literacy course</w:t>
      </w:r>
      <w:r w:rsidRPr="005143ED">
        <w:rPr>
          <w:lang w:eastAsia="zh-CN"/>
        </w:rPr>
        <w:t>.</w:t>
      </w:r>
      <w:r w:rsidR="00C877D3">
        <w:rPr>
          <w:lang w:eastAsia="zh-CN"/>
        </w:rPr>
        <w:t xml:space="preserve">  The goal of the activity is support students in thinking about </w:t>
      </w:r>
      <w:r w:rsidR="00984190">
        <w:rPr>
          <w:lang w:eastAsia="zh-CN"/>
        </w:rPr>
        <w:t>the ways in which technology and multi-modal texts can be used to support cross-content learning in an engaging way.  The featured activity is part of a larger carousel activity in which students also examine visual texts (e.g. graphic novels, images), listen to spoken word, and connect images to primary source texts (e.g. the Bill of Rights).</w:t>
      </w:r>
    </w:p>
    <w:p w14:paraId="7BA11781" w14:textId="19508AA5" w:rsidR="005143ED" w:rsidRPr="004F3235" w:rsidRDefault="005143ED" w:rsidP="006B5E01">
      <w:pPr>
        <w:pStyle w:val="ListParagraph"/>
        <w:numPr>
          <w:ilvl w:val="0"/>
          <w:numId w:val="9"/>
        </w:numPr>
        <w:spacing w:after="240" w:afterAutospacing="0"/>
      </w:pPr>
      <w:r w:rsidRPr="00C877D3">
        <w:lastRenderedPageBreak/>
        <w:t>Description of Assignment/Activity</w:t>
      </w:r>
      <w:r w:rsidR="00177F40" w:rsidRPr="00C877D3">
        <w:t xml:space="preserve"> </w:t>
      </w:r>
      <w:r w:rsidR="004F3235">
        <w:t>–</w:t>
      </w:r>
      <w:r w:rsidR="00177F40" w:rsidRPr="00C877D3">
        <w:t xml:space="preserve"> </w:t>
      </w:r>
      <w:r w:rsidR="004F3235">
        <w:t xml:space="preserve">Students are put into selected groups with one student from each content area represented, as possible given class composition, to provide content area expertise in each group. </w:t>
      </w:r>
      <w:r w:rsidR="00C877D3" w:rsidRPr="00C877D3">
        <w:t xml:space="preserve">The activity requires students to log onto a Padlet </w:t>
      </w:r>
      <w:r w:rsidR="00984190">
        <w:t xml:space="preserve">and choose 4 of 8 “pins” (music videos) to which they will respond.  In order to respond, they must watch the music video and analyze either lyrics, visuals, characterizations or musical motifs </w:t>
      </w:r>
      <w:r w:rsidR="004F3235">
        <w:t>and the ways that these connect with relevant content areas. They respond with a short comment answering the questions that are part of the Padlet pin directions.  Students are required to respond to two of their colleagues.</w:t>
      </w:r>
    </w:p>
    <w:p w14:paraId="6B49C944" w14:textId="3C7AB0E0" w:rsidR="005143ED" w:rsidRPr="006B5E01" w:rsidRDefault="004F3235" w:rsidP="006B5E01">
      <w:pPr>
        <w:pStyle w:val="ListParagraph"/>
        <w:numPr>
          <w:ilvl w:val="0"/>
          <w:numId w:val="9"/>
        </w:numPr>
        <w:spacing w:after="240" w:afterAutospacing="0"/>
      </w:pPr>
      <w:r w:rsidRPr="006B5E01">
        <w:t>Measure</w:t>
      </w:r>
      <w:r w:rsidR="005143ED" w:rsidRPr="006B5E01">
        <w:t xml:space="preserve"> of objective(s)</w:t>
      </w:r>
      <w:r w:rsidRPr="006B5E01">
        <w:t xml:space="preserve">: Student engagement is measured by the number of posts on the various pins and the responses to one another’s posts as well as the answers in relation to content-based questions.  The activity requires digital interaction, encourages collaboration (because of content area vocabulary) and relates to real-life contexts through the choice of selected music videos which are culturally and linguistically diverse, reflecting a variety of cultures, genres and styles of music that mirror composition of students in the classroom. </w:t>
      </w:r>
      <w:r w:rsidR="006157DB" w:rsidRPr="006B5E01">
        <w:t>Students will also be assessed through the integration of digital literacies and multimodal texts into a required lesson plan for the course.</w:t>
      </w:r>
    </w:p>
    <w:p w14:paraId="1EDC8810" w14:textId="38D24BF1" w:rsidR="005E598C" w:rsidRPr="006B5E01" w:rsidRDefault="005143ED" w:rsidP="006B5E01">
      <w:pPr>
        <w:pStyle w:val="ListParagraph"/>
        <w:numPr>
          <w:ilvl w:val="0"/>
          <w:numId w:val="9"/>
        </w:numPr>
      </w:pPr>
      <w:r w:rsidRPr="006B5E01">
        <w:t>Materials used to prepare students for the assignment/activity</w:t>
      </w:r>
      <w:r w:rsidR="004F3235" w:rsidRPr="006B5E01">
        <w:t xml:space="preserve">: </w:t>
      </w:r>
      <w:r w:rsidR="005A6124" w:rsidRPr="006B5E01">
        <w:br/>
      </w:r>
      <w:hyperlink r:id="rId5" w:history="1">
        <w:r w:rsidR="005A6124" w:rsidRPr="006B5E01">
          <w:rPr>
            <w:rStyle w:val="Hyperlink"/>
            <w:rFonts w:ascii="Calibri" w:hAnsi="Calibri" w:cs="Calibri"/>
          </w:rPr>
          <w:t>Music Gallery Walk</w:t>
        </w:r>
      </w:hyperlink>
    </w:p>
    <w:sectPr w:rsidR="005E598C" w:rsidRPr="006B5E01" w:rsidSect="0028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31D8"/>
    <w:multiLevelType w:val="multilevel"/>
    <w:tmpl w:val="ACCC79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 w15:restartNumberingAfterBreak="0">
    <w:nsid w:val="43820564"/>
    <w:multiLevelType w:val="multilevel"/>
    <w:tmpl w:val="EB2C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3BD7A85"/>
    <w:multiLevelType w:val="hybridMultilevel"/>
    <w:tmpl w:val="E046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7730"/>
    <w:multiLevelType w:val="multilevel"/>
    <w:tmpl w:val="60BC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637AB"/>
    <w:multiLevelType w:val="multilevel"/>
    <w:tmpl w:val="B7C8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F5F42"/>
    <w:multiLevelType w:val="hybridMultilevel"/>
    <w:tmpl w:val="4D0C283A"/>
    <w:lvl w:ilvl="0" w:tplc="F3967C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BA1084"/>
    <w:multiLevelType w:val="multilevel"/>
    <w:tmpl w:val="B98A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21BFE"/>
    <w:multiLevelType w:val="multilevel"/>
    <w:tmpl w:val="4ACE19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8" w15:restartNumberingAfterBreak="0">
    <w:nsid w:val="76B7145E"/>
    <w:multiLevelType w:val="hybridMultilevel"/>
    <w:tmpl w:val="2668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ED"/>
    <w:rsid w:val="000071A0"/>
    <w:rsid w:val="00021D6F"/>
    <w:rsid w:val="00074E93"/>
    <w:rsid w:val="00083B5E"/>
    <w:rsid w:val="00083B6D"/>
    <w:rsid w:val="000E5EE9"/>
    <w:rsid w:val="000F2001"/>
    <w:rsid w:val="0015285E"/>
    <w:rsid w:val="00177F40"/>
    <w:rsid w:val="0018447D"/>
    <w:rsid w:val="001B622C"/>
    <w:rsid w:val="001E4421"/>
    <w:rsid w:val="001E5886"/>
    <w:rsid w:val="0020781D"/>
    <w:rsid w:val="00257658"/>
    <w:rsid w:val="002777C9"/>
    <w:rsid w:val="002800DC"/>
    <w:rsid w:val="002B509C"/>
    <w:rsid w:val="002E73A1"/>
    <w:rsid w:val="00305363"/>
    <w:rsid w:val="00327DB3"/>
    <w:rsid w:val="003869F8"/>
    <w:rsid w:val="00397DCA"/>
    <w:rsid w:val="003B15A4"/>
    <w:rsid w:val="003F2B10"/>
    <w:rsid w:val="0041111F"/>
    <w:rsid w:val="00415745"/>
    <w:rsid w:val="004C6EEF"/>
    <w:rsid w:val="004F3235"/>
    <w:rsid w:val="004F44E4"/>
    <w:rsid w:val="005143ED"/>
    <w:rsid w:val="00534152"/>
    <w:rsid w:val="005518AB"/>
    <w:rsid w:val="00564658"/>
    <w:rsid w:val="005A6124"/>
    <w:rsid w:val="005B1AC9"/>
    <w:rsid w:val="005D1FC1"/>
    <w:rsid w:val="006157DB"/>
    <w:rsid w:val="006B5E01"/>
    <w:rsid w:val="006F7591"/>
    <w:rsid w:val="0077020F"/>
    <w:rsid w:val="0078633F"/>
    <w:rsid w:val="007D6762"/>
    <w:rsid w:val="007F0034"/>
    <w:rsid w:val="00820150"/>
    <w:rsid w:val="00847AC8"/>
    <w:rsid w:val="00891B01"/>
    <w:rsid w:val="008943A6"/>
    <w:rsid w:val="008C368C"/>
    <w:rsid w:val="008E46A9"/>
    <w:rsid w:val="00935188"/>
    <w:rsid w:val="0094376E"/>
    <w:rsid w:val="00984190"/>
    <w:rsid w:val="009A4858"/>
    <w:rsid w:val="009C0274"/>
    <w:rsid w:val="009E314B"/>
    <w:rsid w:val="009F1A48"/>
    <w:rsid w:val="00A2397D"/>
    <w:rsid w:val="00A62AD6"/>
    <w:rsid w:val="00B628C5"/>
    <w:rsid w:val="00B96420"/>
    <w:rsid w:val="00BE0863"/>
    <w:rsid w:val="00BE4461"/>
    <w:rsid w:val="00BE5C01"/>
    <w:rsid w:val="00BE6222"/>
    <w:rsid w:val="00BF724F"/>
    <w:rsid w:val="00C03C47"/>
    <w:rsid w:val="00C305C5"/>
    <w:rsid w:val="00C774C2"/>
    <w:rsid w:val="00C877D3"/>
    <w:rsid w:val="00C95DDC"/>
    <w:rsid w:val="00CC3270"/>
    <w:rsid w:val="00D13EFF"/>
    <w:rsid w:val="00D544B2"/>
    <w:rsid w:val="00DD63F7"/>
    <w:rsid w:val="00F51C73"/>
    <w:rsid w:val="00FA714E"/>
    <w:rsid w:val="00FB7392"/>
    <w:rsid w:val="00FD1FF2"/>
    <w:rsid w:val="00FF0478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971B2"/>
  <w15:chartTrackingRefBased/>
  <w15:docId w15:val="{96C9BA51-401E-CC4C-B133-8330425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2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124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4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6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143ED"/>
  </w:style>
  <w:style w:type="paragraph" w:styleId="ListParagraph">
    <w:name w:val="List Paragraph"/>
    <w:basedOn w:val="Normal"/>
    <w:uiPriority w:val="34"/>
    <w:qFormat/>
    <w:rsid w:val="0051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DD63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551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2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124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betinahsieh/5lsfbw4tha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Hsieh</dc:creator>
  <cp:keywords/>
  <dc:description/>
  <cp:lastModifiedBy>Melvin, Ty</cp:lastModifiedBy>
  <cp:revision>3</cp:revision>
  <dcterms:created xsi:type="dcterms:W3CDTF">2020-09-14T18:08:00Z</dcterms:created>
  <dcterms:modified xsi:type="dcterms:W3CDTF">2020-09-14T18:11:00Z</dcterms:modified>
</cp:coreProperties>
</file>